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9162E3"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7F5294" w:rsidP="00E63021">
              <w:pPr>
                <w:tabs>
                  <w:tab w:val="left" w:pos="1851"/>
                </w:tabs>
                <w:rPr>
                  <w:rFonts w:ascii="Tahoma" w:hAnsi="Tahoma" w:cs="Tahoma"/>
                  <w:sz w:val="22"/>
                  <w:szCs w:val="22"/>
                </w:rPr>
              </w:pPr>
            </w:p>
          </w:sdtContent>
        </w:sdt>
        <w:p w14:paraId="7AD26EEB" w14:textId="077595B6" w:rsidR="005E09B0" w:rsidRPr="00CD3C95" w:rsidRDefault="007F5294"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74B37664" w14:textId="16EF024F" w:rsidR="00427535" w:rsidRPr="009162E3" w:rsidRDefault="00427535" w:rsidP="007F5294">
      <w:pPr>
        <w:spacing w:before="240" w:line="360" w:lineRule="auto"/>
        <w:rPr>
          <w:rFonts w:ascii="Tahoma" w:hAnsi="Tahoma"/>
          <w:b/>
          <w:sz w:val="28"/>
        </w:rPr>
      </w:pPr>
      <w:bookmarkStart w:id="9" w:name="Text"/>
      <w:bookmarkEnd w:id="9"/>
      <w:r w:rsidRPr="009162E3">
        <w:rPr>
          <w:rFonts w:ascii="Tahoma" w:hAnsi="Tahoma"/>
          <w:b/>
          <w:sz w:val="28"/>
        </w:rPr>
        <w:t>BITZER CS PRO series: compact screw compressors with expanded application range for hydrocarbons as a refrigerant</w:t>
      </w:r>
    </w:p>
    <w:p w14:paraId="23D1D01E" w14:textId="343DFB0A" w:rsidR="00427535" w:rsidRPr="009162E3" w:rsidRDefault="00427535" w:rsidP="005867B3">
      <w:pPr>
        <w:spacing w:before="240" w:after="200" w:line="360" w:lineRule="auto"/>
        <w:rPr>
          <w:rFonts w:ascii="Tahoma" w:hAnsi="Tahoma" w:cs="Tahoma"/>
          <w:i/>
          <w:color w:val="000000" w:themeColor="text1"/>
          <w:sz w:val="22"/>
          <w:szCs w:val="22"/>
        </w:rPr>
      </w:pPr>
      <w:r w:rsidRPr="009162E3">
        <w:rPr>
          <w:rFonts w:ascii="Tahoma" w:hAnsi="Tahoma"/>
          <w:i/>
          <w:color w:val="000000" w:themeColor="text1"/>
          <w:sz w:val="22"/>
        </w:rPr>
        <w:t xml:space="preserve">As a natural refrigerant with very low global warming potential, hydrocarbons are ideal for future-proof refrigeration and air conditioning systems and heat pumps in Europe, and do not form persistent compounds (PFAS) as degradation products in the environment. </w:t>
      </w:r>
      <w:r w:rsidRPr="009162E3">
        <w:rPr>
          <w:rFonts w:ascii="Tahoma" w:hAnsi="Tahoma"/>
          <w:i/>
          <w:color w:val="000000" w:themeColor="text1"/>
          <w:sz w:val="22"/>
        </w:rPr>
        <w:br/>
        <w:t xml:space="preserve">The </w:t>
      </w:r>
      <w:r w:rsidR="001F6CB1">
        <w:rPr>
          <w:rFonts w:ascii="Tahoma" w:hAnsi="Tahoma"/>
          <w:i/>
          <w:color w:val="000000" w:themeColor="text1"/>
          <w:sz w:val="22"/>
        </w:rPr>
        <w:t>further developed</w:t>
      </w:r>
      <w:r w:rsidRPr="009162E3">
        <w:rPr>
          <w:rFonts w:ascii="Tahoma" w:hAnsi="Tahoma"/>
          <w:i/>
          <w:color w:val="000000" w:themeColor="text1"/>
          <w:sz w:val="22"/>
        </w:rPr>
        <w:t xml:space="preserve"> BITZER CS PRO compact screw compressor series is optimised for these refrigerants and now enables expanded application ranges. Condensing temperatures of up to +73°C are possible with R290 (propane) and up to +100°C with R600a (isobutane). </w:t>
      </w:r>
    </w:p>
    <w:p w14:paraId="7B6CDFA5" w14:textId="3CD58661" w:rsidR="00417176" w:rsidRPr="009162E3" w:rsidRDefault="00FE020F" w:rsidP="005867B3">
      <w:pPr>
        <w:spacing w:before="240" w:after="200" w:line="360" w:lineRule="auto"/>
        <w:rPr>
          <w:rFonts w:ascii="Tahoma" w:hAnsi="Tahoma" w:cs="Tahoma"/>
          <w:color w:val="000000" w:themeColor="text1"/>
          <w:sz w:val="22"/>
          <w:szCs w:val="22"/>
          <w:shd w:val="clear" w:color="auto" w:fill="FFFFFF"/>
        </w:rPr>
      </w:pPr>
      <w:r w:rsidRPr="009162E3">
        <w:rPr>
          <w:rFonts w:ascii="Tahoma" w:hAnsi="Tahoma"/>
          <w:color w:val="000000" w:themeColor="text1"/>
          <w:sz w:val="22"/>
          <w:shd w:val="clear" w:color="auto" w:fill="FFFFFF"/>
        </w:rPr>
        <w:t xml:space="preserve">The well-known BITZER compact screw series for liquid chillers, heat pumps and process cooling is now also available for hydrocarbons in the CS PRO series. In the emerging heat pump market, demand is rising for system designs and solutions with moderate to high capacity ranges using refrigerants with long-term availability. This also applies to the areas of comfort and process cooling. The CS PRO series enables powerful and efficient systems with a wide application range as well as exceptionally compact dimensions thanks to the integrated oil separator and suction gas cooled motor. </w:t>
      </w:r>
    </w:p>
    <w:p w14:paraId="53187E40" w14:textId="69123E4D" w:rsidR="00BB1B16" w:rsidRPr="001F6CB1" w:rsidRDefault="003B38C3" w:rsidP="005867B3">
      <w:pPr>
        <w:spacing w:before="240" w:after="200" w:line="360" w:lineRule="auto"/>
        <w:rPr>
          <w:rFonts w:ascii="Tahoma" w:hAnsi="Tahoma"/>
          <w:color w:val="000000" w:themeColor="text1"/>
          <w:sz w:val="22"/>
          <w:shd w:val="clear" w:color="auto" w:fill="FFFFFF"/>
        </w:rPr>
      </w:pPr>
      <w:r w:rsidRPr="009162E3">
        <w:rPr>
          <w:rFonts w:ascii="Tahoma" w:hAnsi="Tahoma"/>
          <w:b/>
          <w:color w:val="000000" w:themeColor="text1"/>
          <w:sz w:val="22"/>
          <w:shd w:val="clear" w:color="auto" w:fill="FFFFFF"/>
        </w:rPr>
        <w:t>Future-proof system design with hydrocarbon refrigerants</w:t>
      </w:r>
      <w:r w:rsidRPr="009162E3">
        <w:rPr>
          <w:rFonts w:ascii="Tahoma" w:hAnsi="Tahoma"/>
          <w:color w:val="000000" w:themeColor="text1"/>
          <w:sz w:val="22"/>
          <w:shd w:val="clear" w:color="auto" w:fill="FFFFFF"/>
        </w:rPr>
        <w:br/>
        <w:t xml:space="preserve">The existing application range of CS PRO </w:t>
      </w:r>
      <w:r w:rsidRPr="00666AF1">
        <w:rPr>
          <w:rFonts w:ascii="Tahoma" w:hAnsi="Tahoma"/>
          <w:color w:val="000000" w:themeColor="text1"/>
          <w:sz w:val="22"/>
          <w:shd w:val="clear" w:color="auto" w:fill="FFFFFF"/>
        </w:rPr>
        <w:t>compact screw compressors with R290 has been expanded significantly. The compressors are available in ten construction sizes with</w:t>
      </w:r>
      <w:r w:rsidRPr="009162E3">
        <w:rPr>
          <w:rFonts w:ascii="Tahoma" w:hAnsi="Tahoma"/>
          <w:color w:val="000000" w:themeColor="text1"/>
          <w:sz w:val="22"/>
          <w:shd w:val="clear" w:color="auto" w:fill="FFFFFF"/>
        </w:rPr>
        <w:t xml:space="preserve"> displacements ranging from </w:t>
      </w:r>
      <w:r w:rsidRPr="001F6CB1">
        <w:rPr>
          <w:rFonts w:ascii="Tahoma" w:hAnsi="Tahoma"/>
          <w:color w:val="000000" w:themeColor="text1"/>
          <w:sz w:val="22"/>
          <w:shd w:val="clear" w:color="auto" w:fill="FFFFFF"/>
        </w:rPr>
        <w:t>197 to 910 m</w:t>
      </w:r>
      <w:r w:rsidRPr="001F6CB1">
        <w:rPr>
          <w:rFonts w:ascii="Tahoma" w:hAnsi="Tahoma"/>
          <w:color w:val="000000" w:themeColor="text1"/>
          <w:sz w:val="22"/>
          <w:shd w:val="clear" w:color="auto" w:fill="FFFFFF"/>
          <w:vertAlign w:val="superscript"/>
        </w:rPr>
        <w:t>3</w:t>
      </w:r>
      <w:r w:rsidRPr="001F6CB1">
        <w:rPr>
          <w:rFonts w:ascii="Tahoma" w:hAnsi="Tahoma"/>
          <w:color w:val="000000" w:themeColor="text1"/>
          <w:sz w:val="22"/>
          <w:shd w:val="clear" w:color="auto" w:fill="FFFFFF"/>
        </w:rPr>
        <w:t>/h at 50 Hz for this refrigerant.</w:t>
      </w:r>
      <w:r w:rsidR="001F6CB1" w:rsidRPr="001F6CB1">
        <w:rPr>
          <w:rFonts w:ascii="Tahoma" w:hAnsi="Tahoma"/>
          <w:color w:val="000000" w:themeColor="text1"/>
          <w:sz w:val="22"/>
          <w:shd w:val="clear" w:color="auto" w:fill="FFFFFF"/>
        </w:rPr>
        <w:t xml:space="preserve"> For efficient control of the compressors and energy-saving operation of the system, they are equipped </w:t>
      </w:r>
      <w:r w:rsidRPr="001F6CB1">
        <w:rPr>
          <w:rFonts w:ascii="Tahoma" w:hAnsi="Tahoma"/>
          <w:color w:val="000000" w:themeColor="text1"/>
          <w:sz w:val="22"/>
          <w:shd w:val="clear" w:color="auto" w:fill="FFFFFF"/>
        </w:rPr>
        <w:t>with mechanical stepless capacity control as standard</w:t>
      </w:r>
      <w:bookmarkStart w:id="10" w:name="_Hlk163209335"/>
      <w:r w:rsidRPr="001F6CB1">
        <w:rPr>
          <w:rFonts w:ascii="Tahoma" w:hAnsi="Tahoma"/>
          <w:color w:val="000000" w:themeColor="text1"/>
          <w:sz w:val="22"/>
          <w:shd w:val="clear" w:color="auto" w:fill="FFFFFF"/>
        </w:rPr>
        <w:t>. They can even</w:t>
      </w:r>
      <w:r w:rsidRPr="009162E3">
        <w:rPr>
          <w:rFonts w:ascii="Tahoma" w:hAnsi="Tahoma"/>
          <w:color w:val="000000" w:themeColor="text1"/>
          <w:sz w:val="22"/>
          <w:shd w:val="clear" w:color="auto" w:fill="FFFFFF"/>
        </w:rPr>
        <w:t xml:space="preserve"> operate with an external frequency inverter such as VARIPACK at up to 60 Hz.</w:t>
      </w:r>
      <w:bookmarkEnd w:id="10"/>
      <w:r w:rsidRPr="009162E3">
        <w:rPr>
          <w:rFonts w:ascii="Tahoma" w:hAnsi="Tahoma"/>
          <w:color w:val="000000" w:themeColor="text1"/>
          <w:sz w:val="22"/>
          <w:shd w:val="clear" w:color="auto" w:fill="FFFFFF"/>
        </w:rPr>
        <w:t xml:space="preserve"> With evaporation temperatures between </w:t>
      </w:r>
      <w:r w:rsidR="00666AF1" w:rsidRPr="005867B3">
        <w:rPr>
          <w:rFonts w:ascii="Tahoma" w:hAnsi="Tahoma" w:cs="Tahoma"/>
          <w:color w:val="000000" w:themeColor="text1"/>
          <w:sz w:val="22"/>
          <w:szCs w:val="22"/>
          <w:shd w:val="clear" w:color="auto" w:fill="FFFFFF"/>
        </w:rPr>
        <w:t xml:space="preserve">–30°C </w:t>
      </w:r>
      <w:r w:rsidRPr="009162E3">
        <w:rPr>
          <w:rFonts w:ascii="Tahoma" w:hAnsi="Tahoma"/>
          <w:color w:val="000000" w:themeColor="text1"/>
          <w:sz w:val="22"/>
          <w:shd w:val="clear" w:color="auto" w:fill="FFFFFF"/>
        </w:rPr>
        <w:t xml:space="preserve">and +25°C and condensing temperatures between </w:t>
      </w:r>
      <w:r w:rsidRPr="009162E3">
        <w:rPr>
          <w:rFonts w:ascii="Tahoma" w:hAnsi="Tahoma"/>
          <w:color w:val="000000" w:themeColor="text1"/>
          <w:sz w:val="22"/>
          <w:shd w:val="clear" w:color="auto" w:fill="FFFFFF"/>
        </w:rPr>
        <w:lastRenderedPageBreak/>
        <w:t>+20°C and +73°C, CS PRO compact screw compressors with R290 are suitable particularly for reversible liquid chillers in comfort applications, including in heat pump operation. Hot water flow temperatures of up to approximately +70°C can be achieved. The compressors also offer an alternative for process cooling, ensuring sustainable production processes with higher efficiency and the use of natural refrigerants.</w:t>
      </w:r>
    </w:p>
    <w:p w14:paraId="4AF9FF78" w14:textId="6B624DC2" w:rsidR="00BD4E0D" w:rsidRPr="009162E3" w:rsidRDefault="00BD4E0D" w:rsidP="005867B3">
      <w:pPr>
        <w:spacing w:before="240" w:after="200" w:line="360" w:lineRule="auto"/>
        <w:rPr>
          <w:rFonts w:ascii="Tahoma" w:hAnsi="Tahoma" w:cs="Tahoma"/>
          <w:sz w:val="22"/>
          <w:szCs w:val="22"/>
          <w:shd w:val="clear" w:color="auto" w:fill="FFFFFF"/>
        </w:rPr>
      </w:pPr>
      <w:r w:rsidRPr="009162E3">
        <w:rPr>
          <w:rFonts w:ascii="Tahoma" w:hAnsi="Tahoma"/>
          <w:sz w:val="22"/>
          <w:shd w:val="clear" w:color="auto" w:fill="FFFFFF"/>
        </w:rPr>
        <w:t xml:space="preserve">The combination of </w:t>
      </w:r>
      <w:r w:rsidR="00666AF1">
        <w:rPr>
          <w:rFonts w:ascii="Tahoma" w:hAnsi="Tahoma"/>
          <w:sz w:val="22"/>
          <w:shd w:val="clear" w:color="auto" w:fill="FFFFFF"/>
        </w:rPr>
        <w:t xml:space="preserve">a </w:t>
      </w:r>
      <w:r w:rsidRPr="009162E3">
        <w:rPr>
          <w:rFonts w:ascii="Tahoma" w:hAnsi="Tahoma"/>
          <w:sz w:val="22"/>
          <w:shd w:val="clear" w:color="auto" w:fill="FFFFFF"/>
        </w:rPr>
        <w:t xml:space="preserve">natural refrigerant with low global warming potential and exceptional efficiency throughout the full application range makes it possible to develop modern, future-proof systems which </w:t>
      </w:r>
      <w:r w:rsidRPr="001F6CB1">
        <w:rPr>
          <w:rFonts w:ascii="Tahoma" w:hAnsi="Tahoma"/>
          <w:sz w:val="22"/>
          <w:shd w:val="clear" w:color="auto" w:fill="FFFFFF"/>
        </w:rPr>
        <w:t>already</w:t>
      </w:r>
      <w:r w:rsidRPr="009162E3">
        <w:rPr>
          <w:rFonts w:ascii="Tahoma" w:hAnsi="Tahoma"/>
          <w:sz w:val="22"/>
          <w:shd w:val="clear" w:color="auto" w:fill="FFFFFF"/>
        </w:rPr>
        <w:t xml:space="preserve"> fulfil legal requirements pertaining to refrigerants and energy efficiency with expanded temperature ranges.</w:t>
      </w:r>
    </w:p>
    <w:p w14:paraId="672BDA26" w14:textId="6869ADFF" w:rsidR="00EB5D71" w:rsidRPr="00C027AA" w:rsidRDefault="003B38C3" w:rsidP="00C027AA">
      <w:pPr>
        <w:spacing w:before="240" w:after="200" w:line="360" w:lineRule="auto"/>
        <w:rPr>
          <w:rFonts w:ascii="Tahoma" w:hAnsi="Tahoma" w:cs="Tahoma"/>
          <w:color w:val="000000" w:themeColor="text1"/>
          <w:sz w:val="22"/>
          <w:szCs w:val="22"/>
          <w:shd w:val="clear" w:color="auto" w:fill="FFFFFF"/>
        </w:rPr>
      </w:pPr>
      <w:r w:rsidRPr="001F6CB1">
        <w:rPr>
          <w:rFonts w:ascii="Tahoma" w:hAnsi="Tahoma"/>
          <w:color w:val="000000" w:themeColor="text1"/>
          <w:sz w:val="22"/>
          <w:shd w:val="clear" w:color="auto" w:fill="FFFFFF"/>
        </w:rPr>
        <w:t>The CS PRO series now enables compressor operation with R600a. Isobutane is suitable particularly for large heat pumps in industrial and commercial systems with high temperature requirements such as local and district heating networks. The CS PRO compact screw compressors are available for this refrigerant in 17 construction sizes, with displacements between 197 and 1120 m</w:t>
      </w:r>
      <w:r w:rsidRPr="001F6CB1">
        <w:rPr>
          <w:rFonts w:ascii="Tahoma" w:hAnsi="Tahoma"/>
          <w:color w:val="000000" w:themeColor="text1"/>
          <w:sz w:val="22"/>
          <w:shd w:val="clear" w:color="auto" w:fill="FFFFFF"/>
          <w:vertAlign w:val="superscript"/>
        </w:rPr>
        <w:t>3</w:t>
      </w:r>
      <w:r w:rsidRPr="001F6CB1">
        <w:rPr>
          <w:rFonts w:ascii="Tahoma" w:hAnsi="Tahoma"/>
          <w:color w:val="000000" w:themeColor="text1"/>
          <w:sz w:val="22"/>
          <w:shd w:val="clear" w:color="auto" w:fill="FFFFFF"/>
        </w:rPr>
        <w:t xml:space="preserve">/h at 50 Hz, and are ideally controlled by an external frequency inverter. The compressors are equipped with mechanical capacity control as standard. With evaporation temperatures between </w:t>
      </w:r>
      <w:r w:rsidR="001F6CB1" w:rsidRPr="001F6CB1">
        <w:rPr>
          <w:rFonts w:ascii="Tahoma" w:hAnsi="Tahoma" w:cs="Tahoma"/>
          <w:color w:val="000000" w:themeColor="text1"/>
          <w:sz w:val="22"/>
          <w:szCs w:val="22"/>
          <w:shd w:val="clear" w:color="auto" w:fill="FFFFFF"/>
        </w:rPr>
        <w:t xml:space="preserve">–10°C </w:t>
      </w:r>
      <w:r w:rsidRPr="001F6CB1">
        <w:rPr>
          <w:rFonts w:ascii="Tahoma" w:hAnsi="Tahoma"/>
          <w:color w:val="000000" w:themeColor="text1"/>
          <w:sz w:val="22"/>
          <w:shd w:val="clear" w:color="auto" w:fill="FFFFFF"/>
        </w:rPr>
        <w:t>and +50°C and condensing temperatures between +25°C and +100°C, hot water flow temperatures of up to +95°C can be achieved.</w:t>
      </w:r>
    </w:p>
    <w:p w14:paraId="0F78837F" w14:textId="5A85C860" w:rsidR="006F1198" w:rsidRPr="009162E3" w:rsidRDefault="00EB5D71" w:rsidP="005867B3">
      <w:pPr>
        <w:spacing w:line="360" w:lineRule="auto"/>
        <w:rPr>
          <w:rFonts w:ascii="Tahoma" w:hAnsi="Tahoma" w:cs="Tahoma"/>
          <w:b/>
          <w:bCs/>
          <w:sz w:val="22"/>
          <w:szCs w:val="22"/>
        </w:rPr>
      </w:pPr>
      <w:r w:rsidRPr="009162E3">
        <w:rPr>
          <w:rFonts w:ascii="Tahoma" w:hAnsi="Tahoma"/>
          <w:b/>
          <w:sz w:val="22"/>
        </w:rPr>
        <w:t>Increased tightness for BITZER compressors</w:t>
      </w:r>
      <w:r w:rsidRPr="009162E3">
        <w:rPr>
          <w:rFonts w:ascii="Tahoma" w:hAnsi="Tahoma"/>
          <w:b/>
          <w:sz w:val="22"/>
        </w:rPr>
        <w:br/>
      </w:r>
      <w:r w:rsidRPr="009162E3">
        <w:rPr>
          <w:rFonts w:ascii="Tahoma" w:hAnsi="Tahoma"/>
          <w:sz w:val="22"/>
        </w:rPr>
        <w:t xml:space="preserve">Thanks to the design and testing of their seal systems, semi-hermetic and hermetic BITZER compressors achieve an increased level of tightness in accordance with EN1127-1, as confirmed by a certified body. Increased tightness means that the compressors are specially designed to be technically tight on a permanent basis thanks to production and testing processes at BITZER. </w:t>
      </w:r>
      <w:r w:rsidR="001F6CB1" w:rsidRPr="003E5010">
        <w:rPr>
          <w:rFonts w:ascii="Tahoma" w:hAnsi="Tahoma"/>
          <w:sz w:val="22"/>
        </w:rPr>
        <w:t>Thus, when using hydrocarbon as well as A2 and A2L refrigerants, no ATEX zone is created around the compressor.</w:t>
      </w:r>
      <w:r w:rsidR="001F6CB1">
        <w:rPr>
          <w:rFonts w:ascii="Tahoma" w:hAnsi="Tahoma"/>
          <w:sz w:val="22"/>
        </w:rPr>
        <w:t xml:space="preserve"> There is</w:t>
      </w:r>
      <w:r w:rsidR="001F6CB1" w:rsidRPr="00CE5AA4">
        <w:rPr>
          <w:rFonts w:ascii="Tahoma" w:hAnsi="Tahoma"/>
          <w:sz w:val="22"/>
        </w:rPr>
        <w:t xml:space="preserve"> no need to use ATEX components, which is not necessarily the case when it comes to manufacturers without a certified seal system including qualified process control. </w:t>
      </w:r>
      <w:r w:rsidRPr="009162E3">
        <w:rPr>
          <w:rFonts w:ascii="Tahoma" w:hAnsi="Tahoma"/>
          <w:sz w:val="22"/>
        </w:rPr>
        <w:t>BITZER compressors are also free of ignition sources in normal operation in accordance with the IEC60335-2-40:2022 standard for these refrigerants, and the compressor protection device can remain mounted in the terminal box. All that simplifies the risk assessment required by the Machinery Directive, which benefits the system manufacturer.</w:t>
      </w:r>
    </w:p>
    <w:p w14:paraId="5470484E" w14:textId="0E35BE47" w:rsidR="006F1198" w:rsidRPr="009162E3" w:rsidRDefault="006F1198" w:rsidP="005867B3">
      <w:pPr>
        <w:spacing w:before="240" w:after="200" w:line="360" w:lineRule="auto"/>
        <w:rPr>
          <w:rFonts w:ascii="Tahoma" w:hAnsi="Tahoma" w:cs="Tahoma"/>
          <w:sz w:val="22"/>
          <w:szCs w:val="22"/>
        </w:rPr>
      </w:pPr>
      <w:r w:rsidRPr="001F6CB1">
        <w:rPr>
          <w:rFonts w:ascii="Tahoma" w:hAnsi="Tahoma"/>
          <w:sz w:val="22"/>
        </w:rPr>
        <w:t>If there</w:t>
      </w:r>
      <w:r w:rsidR="001F6CB1" w:rsidRPr="001F6CB1">
        <w:rPr>
          <w:rFonts w:ascii="Tahoma" w:hAnsi="Tahoma"/>
          <w:sz w:val="22"/>
        </w:rPr>
        <w:t xml:space="preserve"> i</w:t>
      </w:r>
      <w:r w:rsidRPr="001F6CB1">
        <w:rPr>
          <w:rFonts w:ascii="Tahoma" w:hAnsi="Tahoma"/>
          <w:sz w:val="22"/>
        </w:rPr>
        <w:t>s no way to avoid using the compressors in a potentially explosive atmosphere – for example, the presence of explosive gases in the environment or an increased risk of hydrocarbon refrigerant leakage in the system – different designs are available for each of the ATEX device groups</w:t>
      </w:r>
      <w:r w:rsidRPr="009162E3">
        <w:rPr>
          <w:rFonts w:ascii="Tahoma" w:hAnsi="Tahoma"/>
          <w:sz w:val="22"/>
        </w:rPr>
        <w:t>.</w:t>
      </w:r>
    </w:p>
    <w:p w14:paraId="265A4CCF" w14:textId="2FF9C36C" w:rsidR="00684526" w:rsidRPr="007F5294" w:rsidRDefault="00FC2D02" w:rsidP="007F5294">
      <w:pPr>
        <w:spacing w:before="240" w:after="200" w:line="360" w:lineRule="auto"/>
        <w:rPr>
          <w:rFonts w:ascii="Tahoma" w:hAnsi="Tahoma" w:cs="Tahoma"/>
          <w:sz w:val="22"/>
          <w:szCs w:val="22"/>
        </w:rPr>
      </w:pPr>
      <w:r w:rsidRPr="009162E3">
        <w:rPr>
          <w:rFonts w:ascii="Tahoma" w:hAnsi="Tahoma"/>
          <w:sz w:val="22"/>
        </w:rPr>
        <w:lastRenderedPageBreak/>
        <w:t>BITZER has supplied compressors designed for use with hydrocarbons as a refrigerant since 1990. Decades of experience make the company a competent partner to its customers when it comes to product development, system safety and the use of this technology.</w:t>
      </w:r>
    </w:p>
    <w:p w14:paraId="59B269C7" w14:textId="77777777" w:rsidR="00B06282" w:rsidRPr="009162E3" w:rsidRDefault="00B06282" w:rsidP="00CF174F">
      <w:pPr>
        <w:spacing w:line="360" w:lineRule="auto"/>
        <w:ind w:right="112"/>
        <w:rPr>
          <w:rFonts w:ascii="Arial" w:hAnsi="Arial"/>
          <w:sz w:val="22"/>
        </w:rPr>
      </w:pPr>
    </w:p>
    <w:p w14:paraId="36D657F3" w14:textId="74F8802C" w:rsidR="007A0A06" w:rsidRPr="007F5294" w:rsidRDefault="007A0A06" w:rsidP="007A0A06">
      <w:pPr>
        <w:spacing w:line="360" w:lineRule="auto"/>
        <w:ind w:right="112"/>
        <w:jc w:val="center"/>
        <w:rPr>
          <w:rFonts w:ascii="Arial" w:hAnsi="Arial"/>
          <w:sz w:val="22"/>
          <w:lang w:val="en-US"/>
        </w:rPr>
      </w:pPr>
      <w:r w:rsidRPr="007F5294">
        <w:rPr>
          <w:rFonts w:ascii="Arial" w:hAnsi="Arial"/>
          <w:sz w:val="22"/>
          <w:lang w:val="en-US"/>
        </w:rPr>
        <w:t>■</w:t>
      </w:r>
    </w:p>
    <w:p w14:paraId="57F8E137" w14:textId="77777777" w:rsidR="007A0A06" w:rsidRPr="007F5294" w:rsidRDefault="007A0A06" w:rsidP="007A0A06">
      <w:pPr>
        <w:spacing w:line="360" w:lineRule="auto"/>
        <w:ind w:right="112"/>
        <w:rPr>
          <w:rFonts w:ascii="Tahoma" w:hAnsi="Tahoma"/>
          <w:sz w:val="22"/>
          <w:lang w:val="en-US"/>
        </w:rPr>
      </w:pPr>
    </w:p>
    <w:p w14:paraId="303D7613" w14:textId="77777777" w:rsidR="006A00A3" w:rsidRPr="005E0524" w:rsidRDefault="006A00A3" w:rsidP="006A00A3">
      <w:pPr>
        <w:spacing w:line="360" w:lineRule="auto"/>
        <w:ind w:right="112"/>
        <w:jc w:val="both"/>
        <w:rPr>
          <w:rFonts w:ascii="Tahoma" w:hAnsi="Tahoma" w:cs="Tahoma"/>
          <w:sz w:val="20"/>
          <w:lang w:val="en-US"/>
        </w:rPr>
      </w:pPr>
      <w:bookmarkStart w:id="11"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1"/>
    </w:p>
    <w:p w14:paraId="40E7795D" w14:textId="77777777" w:rsidR="006A00A3" w:rsidRPr="00FA4DE3" w:rsidRDefault="006A00A3" w:rsidP="006A00A3">
      <w:pPr>
        <w:spacing w:line="360" w:lineRule="auto"/>
        <w:ind w:right="112"/>
        <w:jc w:val="both"/>
        <w:rPr>
          <w:rFonts w:ascii="Tahoma" w:hAnsi="Tahoma"/>
          <w:sz w:val="20"/>
          <w:lang w:val="en-US"/>
        </w:rPr>
      </w:pPr>
    </w:p>
    <w:p w14:paraId="0B27C30C" w14:textId="77777777" w:rsidR="006A00A3" w:rsidRPr="000E1FA9" w:rsidRDefault="007F5294" w:rsidP="006A00A3">
      <w:pPr>
        <w:spacing w:line="360" w:lineRule="auto"/>
        <w:ind w:right="112"/>
        <w:jc w:val="both"/>
        <w:rPr>
          <w:rFonts w:ascii="Tahoma" w:hAnsi="Tahoma"/>
          <w:sz w:val="20"/>
          <w:lang w:val="en-US"/>
        </w:rPr>
      </w:pPr>
      <w:hyperlink r:id="rId15" w:history="1">
        <w:r w:rsidR="006A00A3" w:rsidRPr="000E1FA9">
          <w:rPr>
            <w:rStyle w:val="Hyperlink"/>
            <w:rFonts w:ascii="Tahoma" w:hAnsi="Tahoma"/>
            <w:sz w:val="20"/>
            <w:lang w:val="en-US"/>
          </w:rPr>
          <w:t>www.bitzer.de</w:t>
        </w:r>
      </w:hyperlink>
    </w:p>
    <w:p w14:paraId="0F726A2B" w14:textId="77777777" w:rsidR="006A00A3" w:rsidRPr="000E1FA9" w:rsidRDefault="006A00A3" w:rsidP="006A00A3">
      <w:pPr>
        <w:spacing w:line="360" w:lineRule="auto"/>
        <w:ind w:right="112"/>
        <w:jc w:val="both"/>
        <w:rPr>
          <w:rFonts w:ascii="Tahoma" w:hAnsi="Tahoma"/>
          <w:sz w:val="20"/>
          <w:lang w:val="en-US"/>
        </w:rPr>
      </w:pPr>
    </w:p>
    <w:p w14:paraId="335FC00D" w14:textId="77777777" w:rsidR="006A00A3" w:rsidRPr="000E1FA9" w:rsidRDefault="006A00A3" w:rsidP="006A00A3">
      <w:pPr>
        <w:spacing w:line="360" w:lineRule="auto"/>
        <w:ind w:right="112"/>
        <w:jc w:val="both"/>
        <w:rPr>
          <w:rFonts w:ascii="Tahoma" w:hAnsi="Tahoma"/>
          <w:sz w:val="20"/>
          <w:lang w:val="en-US"/>
        </w:rPr>
      </w:pPr>
      <w:r w:rsidRPr="000E1FA9">
        <w:rPr>
          <w:rFonts w:ascii="Tahoma" w:hAnsi="Tahoma"/>
          <w:b/>
          <w:sz w:val="20"/>
          <w:lang w:val="en-US"/>
        </w:rPr>
        <w:t>Overview of images</w:t>
      </w:r>
    </w:p>
    <w:p w14:paraId="7B5770AF" w14:textId="77777777" w:rsidR="006A00A3" w:rsidRPr="000E1FA9" w:rsidRDefault="006A00A3" w:rsidP="006A00A3">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11129CB9" w14:textId="7ABE7DFC" w:rsidR="000F5820" w:rsidRPr="007F5294" w:rsidRDefault="000F5820" w:rsidP="007A0A06">
      <w:pPr>
        <w:spacing w:line="360" w:lineRule="auto"/>
        <w:ind w:right="112"/>
        <w:jc w:val="both"/>
        <w:rPr>
          <w:rFonts w:ascii="Tahoma" w:hAnsi="Tahoma"/>
          <w:sz w:val="20"/>
          <w:lang w:val="en-US"/>
        </w:rPr>
      </w:pPr>
    </w:p>
    <w:p w14:paraId="3BB88515" w14:textId="77777777" w:rsidR="008E5483" w:rsidRPr="007F5294" w:rsidRDefault="008E5483" w:rsidP="00950F7B">
      <w:pPr>
        <w:spacing w:line="360" w:lineRule="auto"/>
        <w:rPr>
          <w:rFonts w:ascii="Tahoma" w:hAnsi="Tahoma"/>
          <w:sz w:val="22"/>
          <w:lang w:val="en-US"/>
        </w:rPr>
      </w:pPr>
    </w:p>
    <w:p w14:paraId="25F43EA2" w14:textId="21B2C694" w:rsidR="008E5483" w:rsidRPr="009162E3" w:rsidRDefault="00B55D7E" w:rsidP="00950F7B">
      <w:pPr>
        <w:spacing w:line="360" w:lineRule="auto"/>
        <w:rPr>
          <w:rFonts w:ascii="Tahoma" w:hAnsi="Tahoma"/>
          <w:sz w:val="22"/>
        </w:rPr>
      </w:pPr>
      <w:r w:rsidRPr="009162E3">
        <w:rPr>
          <w:rFonts w:ascii="Arial" w:hAnsi="Arial"/>
          <w:noProof/>
          <w:sz w:val="20"/>
        </w:rPr>
        <w:lastRenderedPageBreak/>
        <w:drawing>
          <wp:inline distT="0" distB="0" distL="0" distR="0" wp14:anchorId="6278D037" wp14:editId="776B64EB">
            <wp:extent cx="3992400" cy="3992400"/>
            <wp:effectExtent l="0" t="0" r="8255" b="8255"/>
            <wp:docPr id="11880986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98658"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992400" cy="3992400"/>
                    </a:xfrm>
                    <a:prstGeom prst="rect">
                      <a:avLst/>
                    </a:prstGeom>
                    <a:noFill/>
                    <a:ln>
                      <a:noFill/>
                    </a:ln>
                  </pic:spPr>
                </pic:pic>
              </a:graphicData>
            </a:graphic>
          </wp:inline>
        </w:drawing>
      </w:r>
    </w:p>
    <w:p w14:paraId="3BE2C42A" w14:textId="16AD6239" w:rsidR="003B240C" w:rsidRPr="009162E3" w:rsidRDefault="00950F7B" w:rsidP="00E45097">
      <w:pPr>
        <w:spacing w:before="240" w:line="360" w:lineRule="auto"/>
        <w:rPr>
          <w:rFonts w:ascii="Tahoma" w:hAnsi="Tahoma"/>
          <w:sz w:val="22"/>
        </w:rPr>
      </w:pPr>
      <w:r w:rsidRPr="009162E3">
        <w:rPr>
          <w:rFonts w:ascii="Tahoma" w:hAnsi="Tahoma"/>
          <w:sz w:val="22"/>
        </w:rPr>
        <w:t xml:space="preserve">Image: Ready for hydrocarbons: BITZER CS PRO compact screw compressor with an expanded application range </w:t>
      </w:r>
    </w:p>
    <w:sectPr w:rsidR="003B240C" w:rsidRPr="009162E3"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9D7F5" w14:textId="77777777" w:rsidR="007F66EC" w:rsidRDefault="007F66EC">
      <w:r>
        <w:separator/>
      </w:r>
    </w:p>
  </w:endnote>
  <w:endnote w:type="continuationSeparator" w:id="0">
    <w:p w14:paraId="6D0B61D1" w14:textId="77777777" w:rsidR="007F66EC" w:rsidRDefault="007F66EC">
      <w:r>
        <w:continuationSeparator/>
      </w:r>
    </w:p>
  </w:endnote>
  <w:endnote w:type="continuationNotice" w:id="1">
    <w:p w14:paraId="71739BB3" w14:textId="77777777" w:rsidR="007F66EC" w:rsidRDefault="007F6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1F7C8" w14:textId="77777777" w:rsidR="007F66EC" w:rsidRDefault="007F66EC">
      <w:r>
        <w:separator/>
      </w:r>
    </w:p>
  </w:footnote>
  <w:footnote w:type="continuationSeparator" w:id="0">
    <w:p w14:paraId="0B65054E" w14:textId="77777777" w:rsidR="007F66EC" w:rsidRDefault="007F66EC">
      <w:r>
        <w:continuationSeparator/>
      </w:r>
    </w:p>
  </w:footnote>
  <w:footnote w:type="continuationNotice" w:id="1">
    <w:p w14:paraId="55BE6A16" w14:textId="77777777" w:rsidR="007F66EC" w:rsidRDefault="007F6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8240"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2C4B"/>
    <w:rsid w:val="000057AA"/>
    <w:rsid w:val="000129B0"/>
    <w:rsid w:val="00021C11"/>
    <w:rsid w:val="00031570"/>
    <w:rsid w:val="00036060"/>
    <w:rsid w:val="000366CD"/>
    <w:rsid w:val="000409B4"/>
    <w:rsid w:val="000442A3"/>
    <w:rsid w:val="000460FB"/>
    <w:rsid w:val="0005150B"/>
    <w:rsid w:val="00056E2E"/>
    <w:rsid w:val="0005779B"/>
    <w:rsid w:val="000602AD"/>
    <w:rsid w:val="00061C0D"/>
    <w:rsid w:val="00062274"/>
    <w:rsid w:val="00062A38"/>
    <w:rsid w:val="0006421A"/>
    <w:rsid w:val="000656FB"/>
    <w:rsid w:val="0007533B"/>
    <w:rsid w:val="0007629A"/>
    <w:rsid w:val="0007739C"/>
    <w:rsid w:val="00077409"/>
    <w:rsid w:val="00081310"/>
    <w:rsid w:val="0008325C"/>
    <w:rsid w:val="00085552"/>
    <w:rsid w:val="00085D60"/>
    <w:rsid w:val="0008778D"/>
    <w:rsid w:val="00094D04"/>
    <w:rsid w:val="000A2E25"/>
    <w:rsid w:val="000A520F"/>
    <w:rsid w:val="000A679F"/>
    <w:rsid w:val="000B079A"/>
    <w:rsid w:val="000B0EA6"/>
    <w:rsid w:val="000B433F"/>
    <w:rsid w:val="000B55B4"/>
    <w:rsid w:val="000C036D"/>
    <w:rsid w:val="000C0D20"/>
    <w:rsid w:val="000C111C"/>
    <w:rsid w:val="000D1CC3"/>
    <w:rsid w:val="000D2EF1"/>
    <w:rsid w:val="000D2F66"/>
    <w:rsid w:val="000D3D1D"/>
    <w:rsid w:val="000D45B9"/>
    <w:rsid w:val="000D5572"/>
    <w:rsid w:val="000D55D8"/>
    <w:rsid w:val="000D6DEC"/>
    <w:rsid w:val="000E5430"/>
    <w:rsid w:val="000E6FF0"/>
    <w:rsid w:val="000F3117"/>
    <w:rsid w:val="000F4DFF"/>
    <w:rsid w:val="000F5820"/>
    <w:rsid w:val="00105636"/>
    <w:rsid w:val="0011150B"/>
    <w:rsid w:val="00113BB8"/>
    <w:rsid w:val="0011420F"/>
    <w:rsid w:val="00121105"/>
    <w:rsid w:val="00121973"/>
    <w:rsid w:val="00121AAE"/>
    <w:rsid w:val="001221A8"/>
    <w:rsid w:val="0012404C"/>
    <w:rsid w:val="00125659"/>
    <w:rsid w:val="00126449"/>
    <w:rsid w:val="001271A1"/>
    <w:rsid w:val="00130373"/>
    <w:rsid w:val="00131D5B"/>
    <w:rsid w:val="00135CE0"/>
    <w:rsid w:val="0013778C"/>
    <w:rsid w:val="001428DF"/>
    <w:rsid w:val="00143A8C"/>
    <w:rsid w:val="0014616F"/>
    <w:rsid w:val="001521BD"/>
    <w:rsid w:val="0015393A"/>
    <w:rsid w:val="001600E7"/>
    <w:rsid w:val="00161956"/>
    <w:rsid w:val="00165D1D"/>
    <w:rsid w:val="00166190"/>
    <w:rsid w:val="0016620D"/>
    <w:rsid w:val="001701E7"/>
    <w:rsid w:val="00170992"/>
    <w:rsid w:val="00171500"/>
    <w:rsid w:val="001726B9"/>
    <w:rsid w:val="00173ED5"/>
    <w:rsid w:val="00176E60"/>
    <w:rsid w:val="001806C9"/>
    <w:rsid w:val="00180E8B"/>
    <w:rsid w:val="0018103C"/>
    <w:rsid w:val="00182AD4"/>
    <w:rsid w:val="00183A3C"/>
    <w:rsid w:val="001856FD"/>
    <w:rsid w:val="001947CF"/>
    <w:rsid w:val="00194C54"/>
    <w:rsid w:val="00196CF7"/>
    <w:rsid w:val="00197DA1"/>
    <w:rsid w:val="001A225A"/>
    <w:rsid w:val="001A4EC0"/>
    <w:rsid w:val="001A77EB"/>
    <w:rsid w:val="001B492B"/>
    <w:rsid w:val="001B61FD"/>
    <w:rsid w:val="001B6524"/>
    <w:rsid w:val="001C2261"/>
    <w:rsid w:val="001C2E28"/>
    <w:rsid w:val="001C4790"/>
    <w:rsid w:val="001C4898"/>
    <w:rsid w:val="001C5D63"/>
    <w:rsid w:val="001C6A10"/>
    <w:rsid w:val="001D0E9C"/>
    <w:rsid w:val="001D280B"/>
    <w:rsid w:val="001D4E3B"/>
    <w:rsid w:val="001D6B60"/>
    <w:rsid w:val="001E2FC3"/>
    <w:rsid w:val="001E31FC"/>
    <w:rsid w:val="001E3E07"/>
    <w:rsid w:val="001E6790"/>
    <w:rsid w:val="001F00FD"/>
    <w:rsid w:val="001F077A"/>
    <w:rsid w:val="001F5CE2"/>
    <w:rsid w:val="001F6284"/>
    <w:rsid w:val="001F6CB1"/>
    <w:rsid w:val="001F6F44"/>
    <w:rsid w:val="00201616"/>
    <w:rsid w:val="00204B27"/>
    <w:rsid w:val="0020626C"/>
    <w:rsid w:val="0020657E"/>
    <w:rsid w:val="00206963"/>
    <w:rsid w:val="00206B86"/>
    <w:rsid w:val="002077C1"/>
    <w:rsid w:val="00207FE5"/>
    <w:rsid w:val="0021081D"/>
    <w:rsid w:val="00214305"/>
    <w:rsid w:val="002154F0"/>
    <w:rsid w:val="0021555A"/>
    <w:rsid w:val="002166DE"/>
    <w:rsid w:val="00221BC6"/>
    <w:rsid w:val="00222A26"/>
    <w:rsid w:val="00225895"/>
    <w:rsid w:val="00225DC0"/>
    <w:rsid w:val="00234779"/>
    <w:rsid w:val="00241630"/>
    <w:rsid w:val="00243C2E"/>
    <w:rsid w:val="002464D0"/>
    <w:rsid w:val="00247B2D"/>
    <w:rsid w:val="00252BC0"/>
    <w:rsid w:val="00253086"/>
    <w:rsid w:val="00254BC4"/>
    <w:rsid w:val="00255D48"/>
    <w:rsid w:val="00257374"/>
    <w:rsid w:val="00262F09"/>
    <w:rsid w:val="00264BE3"/>
    <w:rsid w:val="0026721A"/>
    <w:rsid w:val="00267B20"/>
    <w:rsid w:val="00267B36"/>
    <w:rsid w:val="00270CB7"/>
    <w:rsid w:val="00273587"/>
    <w:rsid w:val="00274248"/>
    <w:rsid w:val="00274344"/>
    <w:rsid w:val="002756F1"/>
    <w:rsid w:val="00280B26"/>
    <w:rsid w:val="00281076"/>
    <w:rsid w:val="00281209"/>
    <w:rsid w:val="00282B4F"/>
    <w:rsid w:val="00285BE8"/>
    <w:rsid w:val="00285BEF"/>
    <w:rsid w:val="0028629D"/>
    <w:rsid w:val="00290999"/>
    <w:rsid w:val="0029333B"/>
    <w:rsid w:val="0029383E"/>
    <w:rsid w:val="00293928"/>
    <w:rsid w:val="00293C93"/>
    <w:rsid w:val="00293E43"/>
    <w:rsid w:val="00294C60"/>
    <w:rsid w:val="00295F23"/>
    <w:rsid w:val="002963B6"/>
    <w:rsid w:val="00296AA7"/>
    <w:rsid w:val="002A149B"/>
    <w:rsid w:val="002A7781"/>
    <w:rsid w:val="002B0924"/>
    <w:rsid w:val="002B30DE"/>
    <w:rsid w:val="002B51E0"/>
    <w:rsid w:val="002B5B1A"/>
    <w:rsid w:val="002B76F2"/>
    <w:rsid w:val="002C1014"/>
    <w:rsid w:val="002C19E9"/>
    <w:rsid w:val="002C4136"/>
    <w:rsid w:val="002C5D64"/>
    <w:rsid w:val="002C5D89"/>
    <w:rsid w:val="002C6D84"/>
    <w:rsid w:val="002C7729"/>
    <w:rsid w:val="002D0309"/>
    <w:rsid w:val="002D12EE"/>
    <w:rsid w:val="002D4D58"/>
    <w:rsid w:val="002D6259"/>
    <w:rsid w:val="002D69B6"/>
    <w:rsid w:val="002D728B"/>
    <w:rsid w:val="002E0C43"/>
    <w:rsid w:val="002E2329"/>
    <w:rsid w:val="002E358F"/>
    <w:rsid w:val="002E5F16"/>
    <w:rsid w:val="002E6299"/>
    <w:rsid w:val="002E65C8"/>
    <w:rsid w:val="002E7183"/>
    <w:rsid w:val="002E7F6A"/>
    <w:rsid w:val="002F5CB0"/>
    <w:rsid w:val="002F7DBF"/>
    <w:rsid w:val="003007E2"/>
    <w:rsid w:val="00300918"/>
    <w:rsid w:val="003021A9"/>
    <w:rsid w:val="003043C3"/>
    <w:rsid w:val="00305340"/>
    <w:rsid w:val="003060AF"/>
    <w:rsid w:val="003070B2"/>
    <w:rsid w:val="00316731"/>
    <w:rsid w:val="00316A41"/>
    <w:rsid w:val="0031718E"/>
    <w:rsid w:val="0031738B"/>
    <w:rsid w:val="003175BE"/>
    <w:rsid w:val="00322FBA"/>
    <w:rsid w:val="00326961"/>
    <w:rsid w:val="00327519"/>
    <w:rsid w:val="00331395"/>
    <w:rsid w:val="003336A5"/>
    <w:rsid w:val="003340F9"/>
    <w:rsid w:val="003355B8"/>
    <w:rsid w:val="00335F86"/>
    <w:rsid w:val="00336E61"/>
    <w:rsid w:val="0033769C"/>
    <w:rsid w:val="00337D79"/>
    <w:rsid w:val="003401BC"/>
    <w:rsid w:val="00340F5E"/>
    <w:rsid w:val="0034305C"/>
    <w:rsid w:val="00343096"/>
    <w:rsid w:val="0034387B"/>
    <w:rsid w:val="003439AA"/>
    <w:rsid w:val="00344581"/>
    <w:rsid w:val="00351121"/>
    <w:rsid w:val="00354AD8"/>
    <w:rsid w:val="0035779A"/>
    <w:rsid w:val="00357C25"/>
    <w:rsid w:val="00360CA8"/>
    <w:rsid w:val="00361C04"/>
    <w:rsid w:val="00362FBE"/>
    <w:rsid w:val="00363E5F"/>
    <w:rsid w:val="003645E1"/>
    <w:rsid w:val="003676F2"/>
    <w:rsid w:val="003719D0"/>
    <w:rsid w:val="003726DE"/>
    <w:rsid w:val="00375188"/>
    <w:rsid w:val="00377544"/>
    <w:rsid w:val="00382711"/>
    <w:rsid w:val="00384201"/>
    <w:rsid w:val="00387595"/>
    <w:rsid w:val="003913A2"/>
    <w:rsid w:val="00392703"/>
    <w:rsid w:val="003942C3"/>
    <w:rsid w:val="0039610D"/>
    <w:rsid w:val="003A2902"/>
    <w:rsid w:val="003A4A74"/>
    <w:rsid w:val="003A62AD"/>
    <w:rsid w:val="003B1723"/>
    <w:rsid w:val="003B240C"/>
    <w:rsid w:val="003B38C3"/>
    <w:rsid w:val="003B5127"/>
    <w:rsid w:val="003C0035"/>
    <w:rsid w:val="003C0197"/>
    <w:rsid w:val="003C045E"/>
    <w:rsid w:val="003C054B"/>
    <w:rsid w:val="003C06DC"/>
    <w:rsid w:val="003D221B"/>
    <w:rsid w:val="003E054B"/>
    <w:rsid w:val="003E16D7"/>
    <w:rsid w:val="003E2ACE"/>
    <w:rsid w:val="003E6870"/>
    <w:rsid w:val="003E78F3"/>
    <w:rsid w:val="003F18C9"/>
    <w:rsid w:val="00400005"/>
    <w:rsid w:val="00400B66"/>
    <w:rsid w:val="00401EBA"/>
    <w:rsid w:val="00403329"/>
    <w:rsid w:val="0040550F"/>
    <w:rsid w:val="00405F17"/>
    <w:rsid w:val="00406740"/>
    <w:rsid w:val="00407917"/>
    <w:rsid w:val="00417176"/>
    <w:rsid w:val="0042016A"/>
    <w:rsid w:val="00425021"/>
    <w:rsid w:val="00425326"/>
    <w:rsid w:val="00426A7C"/>
    <w:rsid w:val="00427535"/>
    <w:rsid w:val="004278ED"/>
    <w:rsid w:val="00430973"/>
    <w:rsid w:val="00434055"/>
    <w:rsid w:val="00443236"/>
    <w:rsid w:val="0044683E"/>
    <w:rsid w:val="00446AEA"/>
    <w:rsid w:val="004513DA"/>
    <w:rsid w:val="004538D6"/>
    <w:rsid w:val="00456E5D"/>
    <w:rsid w:val="00463ED4"/>
    <w:rsid w:val="00465E4F"/>
    <w:rsid w:val="00470A6B"/>
    <w:rsid w:val="00472DCD"/>
    <w:rsid w:val="00474178"/>
    <w:rsid w:val="004827E6"/>
    <w:rsid w:val="00483A02"/>
    <w:rsid w:val="00487195"/>
    <w:rsid w:val="00490452"/>
    <w:rsid w:val="0049198A"/>
    <w:rsid w:val="004942BA"/>
    <w:rsid w:val="00495749"/>
    <w:rsid w:val="00495B8D"/>
    <w:rsid w:val="004A2361"/>
    <w:rsid w:val="004A4C3E"/>
    <w:rsid w:val="004B36CF"/>
    <w:rsid w:val="004B43EF"/>
    <w:rsid w:val="004B510C"/>
    <w:rsid w:val="004B71E2"/>
    <w:rsid w:val="004C1219"/>
    <w:rsid w:val="004C4AFA"/>
    <w:rsid w:val="004C52D1"/>
    <w:rsid w:val="004C7328"/>
    <w:rsid w:val="004D302B"/>
    <w:rsid w:val="004D3F22"/>
    <w:rsid w:val="004E212A"/>
    <w:rsid w:val="004E3397"/>
    <w:rsid w:val="004E3B36"/>
    <w:rsid w:val="004F0180"/>
    <w:rsid w:val="004F66F5"/>
    <w:rsid w:val="005023AB"/>
    <w:rsid w:val="0050330D"/>
    <w:rsid w:val="0050749B"/>
    <w:rsid w:val="00507F2A"/>
    <w:rsid w:val="00515DD7"/>
    <w:rsid w:val="00515F03"/>
    <w:rsid w:val="00521B21"/>
    <w:rsid w:val="00522B2A"/>
    <w:rsid w:val="00522CE7"/>
    <w:rsid w:val="0052420D"/>
    <w:rsid w:val="00524D0A"/>
    <w:rsid w:val="005306C2"/>
    <w:rsid w:val="00532FEA"/>
    <w:rsid w:val="00533135"/>
    <w:rsid w:val="0053520A"/>
    <w:rsid w:val="00536897"/>
    <w:rsid w:val="005371B8"/>
    <w:rsid w:val="005378DA"/>
    <w:rsid w:val="00541476"/>
    <w:rsid w:val="005435B1"/>
    <w:rsid w:val="00546BBD"/>
    <w:rsid w:val="00551E05"/>
    <w:rsid w:val="00555F6E"/>
    <w:rsid w:val="005564B2"/>
    <w:rsid w:val="00556655"/>
    <w:rsid w:val="00556FC2"/>
    <w:rsid w:val="00562535"/>
    <w:rsid w:val="00562925"/>
    <w:rsid w:val="005631F0"/>
    <w:rsid w:val="00563A82"/>
    <w:rsid w:val="005656DF"/>
    <w:rsid w:val="00565CAE"/>
    <w:rsid w:val="0057281A"/>
    <w:rsid w:val="005742EC"/>
    <w:rsid w:val="00577067"/>
    <w:rsid w:val="005826A3"/>
    <w:rsid w:val="00583153"/>
    <w:rsid w:val="005867B3"/>
    <w:rsid w:val="00592520"/>
    <w:rsid w:val="0059484C"/>
    <w:rsid w:val="005A0252"/>
    <w:rsid w:val="005A0470"/>
    <w:rsid w:val="005A1070"/>
    <w:rsid w:val="005A4C62"/>
    <w:rsid w:val="005A5910"/>
    <w:rsid w:val="005A643D"/>
    <w:rsid w:val="005A769C"/>
    <w:rsid w:val="005B083C"/>
    <w:rsid w:val="005B32C8"/>
    <w:rsid w:val="005B6530"/>
    <w:rsid w:val="005B7281"/>
    <w:rsid w:val="005B7BBB"/>
    <w:rsid w:val="005C0D40"/>
    <w:rsid w:val="005C0E80"/>
    <w:rsid w:val="005C3FE9"/>
    <w:rsid w:val="005C75AD"/>
    <w:rsid w:val="005D25A9"/>
    <w:rsid w:val="005D3A68"/>
    <w:rsid w:val="005D5ABE"/>
    <w:rsid w:val="005D6A3E"/>
    <w:rsid w:val="005D7B5A"/>
    <w:rsid w:val="005E09B0"/>
    <w:rsid w:val="005E6EAA"/>
    <w:rsid w:val="005F136A"/>
    <w:rsid w:val="005F2B9C"/>
    <w:rsid w:val="005F633B"/>
    <w:rsid w:val="005F76ED"/>
    <w:rsid w:val="006068EA"/>
    <w:rsid w:val="00607BE2"/>
    <w:rsid w:val="006102BA"/>
    <w:rsid w:val="006112C8"/>
    <w:rsid w:val="0061383F"/>
    <w:rsid w:val="00613A2A"/>
    <w:rsid w:val="00613F89"/>
    <w:rsid w:val="00620BEE"/>
    <w:rsid w:val="0062217C"/>
    <w:rsid w:val="0062218A"/>
    <w:rsid w:val="00623869"/>
    <w:rsid w:val="00623FFA"/>
    <w:rsid w:val="00626FF4"/>
    <w:rsid w:val="00634A0B"/>
    <w:rsid w:val="00634BF3"/>
    <w:rsid w:val="00634F8A"/>
    <w:rsid w:val="00637684"/>
    <w:rsid w:val="00641308"/>
    <w:rsid w:val="00642C7B"/>
    <w:rsid w:val="0064341F"/>
    <w:rsid w:val="00644126"/>
    <w:rsid w:val="006444DC"/>
    <w:rsid w:val="00645B53"/>
    <w:rsid w:val="00647F6A"/>
    <w:rsid w:val="00651D96"/>
    <w:rsid w:val="00651E0C"/>
    <w:rsid w:val="00652EF9"/>
    <w:rsid w:val="0065642D"/>
    <w:rsid w:val="00657E23"/>
    <w:rsid w:val="00660386"/>
    <w:rsid w:val="0066668A"/>
    <w:rsid w:val="00666AF1"/>
    <w:rsid w:val="00667AFE"/>
    <w:rsid w:val="00672604"/>
    <w:rsid w:val="00672FF0"/>
    <w:rsid w:val="0067473B"/>
    <w:rsid w:val="00674749"/>
    <w:rsid w:val="00674DAB"/>
    <w:rsid w:val="0067707E"/>
    <w:rsid w:val="00682408"/>
    <w:rsid w:val="00682C0E"/>
    <w:rsid w:val="00684526"/>
    <w:rsid w:val="006910C6"/>
    <w:rsid w:val="00692555"/>
    <w:rsid w:val="006925AF"/>
    <w:rsid w:val="006927BD"/>
    <w:rsid w:val="00693DDB"/>
    <w:rsid w:val="00694D11"/>
    <w:rsid w:val="006970DD"/>
    <w:rsid w:val="006971C9"/>
    <w:rsid w:val="00697E14"/>
    <w:rsid w:val="006A00A3"/>
    <w:rsid w:val="006A113D"/>
    <w:rsid w:val="006A77A7"/>
    <w:rsid w:val="006B033E"/>
    <w:rsid w:val="006B0E23"/>
    <w:rsid w:val="006B1551"/>
    <w:rsid w:val="006B214A"/>
    <w:rsid w:val="006B2C46"/>
    <w:rsid w:val="006B43C0"/>
    <w:rsid w:val="006B4C3B"/>
    <w:rsid w:val="006C1515"/>
    <w:rsid w:val="006C29CE"/>
    <w:rsid w:val="006C4FCD"/>
    <w:rsid w:val="006D19BA"/>
    <w:rsid w:val="006D688F"/>
    <w:rsid w:val="006D79A9"/>
    <w:rsid w:val="006E0B38"/>
    <w:rsid w:val="006E3652"/>
    <w:rsid w:val="006E3B0A"/>
    <w:rsid w:val="006E4B79"/>
    <w:rsid w:val="006E5B90"/>
    <w:rsid w:val="006E6480"/>
    <w:rsid w:val="006E6FBB"/>
    <w:rsid w:val="006F1198"/>
    <w:rsid w:val="006F23E1"/>
    <w:rsid w:val="006F3880"/>
    <w:rsid w:val="006F5836"/>
    <w:rsid w:val="00707903"/>
    <w:rsid w:val="007109D3"/>
    <w:rsid w:val="00711820"/>
    <w:rsid w:val="00713600"/>
    <w:rsid w:val="00714D87"/>
    <w:rsid w:val="007157E4"/>
    <w:rsid w:val="00716976"/>
    <w:rsid w:val="00720085"/>
    <w:rsid w:val="007209B4"/>
    <w:rsid w:val="007211A8"/>
    <w:rsid w:val="00721705"/>
    <w:rsid w:val="007244CC"/>
    <w:rsid w:val="00726433"/>
    <w:rsid w:val="007334EF"/>
    <w:rsid w:val="00736515"/>
    <w:rsid w:val="00737212"/>
    <w:rsid w:val="00737598"/>
    <w:rsid w:val="00740325"/>
    <w:rsid w:val="007409FC"/>
    <w:rsid w:val="00741967"/>
    <w:rsid w:val="00742FC6"/>
    <w:rsid w:val="007456C2"/>
    <w:rsid w:val="00745976"/>
    <w:rsid w:val="00750877"/>
    <w:rsid w:val="007545F4"/>
    <w:rsid w:val="00760B81"/>
    <w:rsid w:val="00763E11"/>
    <w:rsid w:val="00764BF7"/>
    <w:rsid w:val="0076673E"/>
    <w:rsid w:val="00772550"/>
    <w:rsid w:val="0077798C"/>
    <w:rsid w:val="0078258D"/>
    <w:rsid w:val="0078409E"/>
    <w:rsid w:val="007849D7"/>
    <w:rsid w:val="007857E4"/>
    <w:rsid w:val="00785FEF"/>
    <w:rsid w:val="00797E56"/>
    <w:rsid w:val="007A0A06"/>
    <w:rsid w:val="007A0AD7"/>
    <w:rsid w:val="007A24E2"/>
    <w:rsid w:val="007A2A0C"/>
    <w:rsid w:val="007A3837"/>
    <w:rsid w:val="007A6477"/>
    <w:rsid w:val="007A6DD0"/>
    <w:rsid w:val="007B4078"/>
    <w:rsid w:val="007B4637"/>
    <w:rsid w:val="007B660A"/>
    <w:rsid w:val="007B6FFF"/>
    <w:rsid w:val="007B7D91"/>
    <w:rsid w:val="007C5021"/>
    <w:rsid w:val="007C6D14"/>
    <w:rsid w:val="007C7A81"/>
    <w:rsid w:val="007D0D4F"/>
    <w:rsid w:val="007D45AE"/>
    <w:rsid w:val="007D486C"/>
    <w:rsid w:val="007D48B5"/>
    <w:rsid w:val="007D5A27"/>
    <w:rsid w:val="007D69C0"/>
    <w:rsid w:val="007D75BA"/>
    <w:rsid w:val="007D786C"/>
    <w:rsid w:val="007E2633"/>
    <w:rsid w:val="007E797E"/>
    <w:rsid w:val="007F11B8"/>
    <w:rsid w:val="007F20AE"/>
    <w:rsid w:val="007F2695"/>
    <w:rsid w:val="007F4866"/>
    <w:rsid w:val="007F5294"/>
    <w:rsid w:val="007F540F"/>
    <w:rsid w:val="007F5EC2"/>
    <w:rsid w:val="007F66EC"/>
    <w:rsid w:val="00802B96"/>
    <w:rsid w:val="00802FDE"/>
    <w:rsid w:val="00803EE1"/>
    <w:rsid w:val="00804D58"/>
    <w:rsid w:val="00805832"/>
    <w:rsid w:val="008123E5"/>
    <w:rsid w:val="00813BEC"/>
    <w:rsid w:val="00816DEA"/>
    <w:rsid w:val="00820B5A"/>
    <w:rsid w:val="00822082"/>
    <w:rsid w:val="00824D65"/>
    <w:rsid w:val="00825475"/>
    <w:rsid w:val="008319A5"/>
    <w:rsid w:val="00832545"/>
    <w:rsid w:val="008351C2"/>
    <w:rsid w:val="008361ED"/>
    <w:rsid w:val="00837958"/>
    <w:rsid w:val="00841628"/>
    <w:rsid w:val="00841867"/>
    <w:rsid w:val="00843CB6"/>
    <w:rsid w:val="00844098"/>
    <w:rsid w:val="0084549C"/>
    <w:rsid w:val="00847907"/>
    <w:rsid w:val="00847AF7"/>
    <w:rsid w:val="00847C23"/>
    <w:rsid w:val="00851760"/>
    <w:rsid w:val="00854A03"/>
    <w:rsid w:val="008553D0"/>
    <w:rsid w:val="008568B2"/>
    <w:rsid w:val="008625CB"/>
    <w:rsid w:val="0086426B"/>
    <w:rsid w:val="008727D6"/>
    <w:rsid w:val="008728A6"/>
    <w:rsid w:val="00874A85"/>
    <w:rsid w:val="008830A8"/>
    <w:rsid w:val="00883392"/>
    <w:rsid w:val="008853E1"/>
    <w:rsid w:val="00885D9B"/>
    <w:rsid w:val="008903F0"/>
    <w:rsid w:val="00891190"/>
    <w:rsid w:val="0089292C"/>
    <w:rsid w:val="00892BC7"/>
    <w:rsid w:val="00893953"/>
    <w:rsid w:val="0089571E"/>
    <w:rsid w:val="00895CD9"/>
    <w:rsid w:val="00897DED"/>
    <w:rsid w:val="008A0781"/>
    <w:rsid w:val="008A1221"/>
    <w:rsid w:val="008A140E"/>
    <w:rsid w:val="008A21C0"/>
    <w:rsid w:val="008A262F"/>
    <w:rsid w:val="008A3723"/>
    <w:rsid w:val="008A588A"/>
    <w:rsid w:val="008A618D"/>
    <w:rsid w:val="008B4FBE"/>
    <w:rsid w:val="008B6BD0"/>
    <w:rsid w:val="008C3B8A"/>
    <w:rsid w:val="008C4522"/>
    <w:rsid w:val="008C5ACE"/>
    <w:rsid w:val="008C79A3"/>
    <w:rsid w:val="008D2714"/>
    <w:rsid w:val="008D32F0"/>
    <w:rsid w:val="008D5C80"/>
    <w:rsid w:val="008D6C49"/>
    <w:rsid w:val="008E176B"/>
    <w:rsid w:val="008E3969"/>
    <w:rsid w:val="008E5483"/>
    <w:rsid w:val="008F0C82"/>
    <w:rsid w:val="008F1104"/>
    <w:rsid w:val="008F6366"/>
    <w:rsid w:val="008F767E"/>
    <w:rsid w:val="009010F4"/>
    <w:rsid w:val="0090409D"/>
    <w:rsid w:val="00910C8D"/>
    <w:rsid w:val="009121B5"/>
    <w:rsid w:val="009122FA"/>
    <w:rsid w:val="0091234F"/>
    <w:rsid w:val="00913241"/>
    <w:rsid w:val="009162E3"/>
    <w:rsid w:val="00917218"/>
    <w:rsid w:val="009218BD"/>
    <w:rsid w:val="00927488"/>
    <w:rsid w:val="0093578A"/>
    <w:rsid w:val="009361A2"/>
    <w:rsid w:val="00936833"/>
    <w:rsid w:val="0094068A"/>
    <w:rsid w:val="009415D7"/>
    <w:rsid w:val="009437FB"/>
    <w:rsid w:val="00945326"/>
    <w:rsid w:val="00946C34"/>
    <w:rsid w:val="00950F7B"/>
    <w:rsid w:val="0095104E"/>
    <w:rsid w:val="00951247"/>
    <w:rsid w:val="00954A65"/>
    <w:rsid w:val="00956572"/>
    <w:rsid w:val="0095763F"/>
    <w:rsid w:val="0095771D"/>
    <w:rsid w:val="00963A81"/>
    <w:rsid w:val="00964D41"/>
    <w:rsid w:val="00965576"/>
    <w:rsid w:val="00967F74"/>
    <w:rsid w:val="009710BC"/>
    <w:rsid w:val="0097411B"/>
    <w:rsid w:val="0097438A"/>
    <w:rsid w:val="00974B4B"/>
    <w:rsid w:val="009754AF"/>
    <w:rsid w:val="009754FB"/>
    <w:rsid w:val="00975F6A"/>
    <w:rsid w:val="009763AE"/>
    <w:rsid w:val="00977728"/>
    <w:rsid w:val="00980560"/>
    <w:rsid w:val="009819C4"/>
    <w:rsid w:val="0098567B"/>
    <w:rsid w:val="00985C1B"/>
    <w:rsid w:val="00990BDF"/>
    <w:rsid w:val="0099797B"/>
    <w:rsid w:val="009A055E"/>
    <w:rsid w:val="009A1C2D"/>
    <w:rsid w:val="009A567E"/>
    <w:rsid w:val="009A7EB5"/>
    <w:rsid w:val="009B0600"/>
    <w:rsid w:val="009B19A7"/>
    <w:rsid w:val="009B2064"/>
    <w:rsid w:val="009B629C"/>
    <w:rsid w:val="009C048E"/>
    <w:rsid w:val="009C3722"/>
    <w:rsid w:val="009C37D0"/>
    <w:rsid w:val="009C3C37"/>
    <w:rsid w:val="009C4DF9"/>
    <w:rsid w:val="009C6445"/>
    <w:rsid w:val="009D4879"/>
    <w:rsid w:val="009D709E"/>
    <w:rsid w:val="009E0503"/>
    <w:rsid w:val="009E3618"/>
    <w:rsid w:val="009E46A0"/>
    <w:rsid w:val="009E6294"/>
    <w:rsid w:val="009E64C6"/>
    <w:rsid w:val="009E7DA0"/>
    <w:rsid w:val="009F1CE3"/>
    <w:rsid w:val="009F3237"/>
    <w:rsid w:val="009F503D"/>
    <w:rsid w:val="00A03BE6"/>
    <w:rsid w:val="00A04119"/>
    <w:rsid w:val="00A04A46"/>
    <w:rsid w:val="00A061EF"/>
    <w:rsid w:val="00A06631"/>
    <w:rsid w:val="00A1066F"/>
    <w:rsid w:val="00A10BE6"/>
    <w:rsid w:val="00A141FA"/>
    <w:rsid w:val="00A16003"/>
    <w:rsid w:val="00A16D4A"/>
    <w:rsid w:val="00A20412"/>
    <w:rsid w:val="00A21563"/>
    <w:rsid w:val="00A253B4"/>
    <w:rsid w:val="00A25E17"/>
    <w:rsid w:val="00A27B9A"/>
    <w:rsid w:val="00A27FA7"/>
    <w:rsid w:val="00A300F8"/>
    <w:rsid w:val="00A3228E"/>
    <w:rsid w:val="00A340A0"/>
    <w:rsid w:val="00A3438B"/>
    <w:rsid w:val="00A41E4F"/>
    <w:rsid w:val="00A451EF"/>
    <w:rsid w:val="00A4538B"/>
    <w:rsid w:val="00A45B49"/>
    <w:rsid w:val="00A46C9B"/>
    <w:rsid w:val="00A475A8"/>
    <w:rsid w:val="00A47887"/>
    <w:rsid w:val="00A47A06"/>
    <w:rsid w:val="00A50406"/>
    <w:rsid w:val="00A509C2"/>
    <w:rsid w:val="00A511ED"/>
    <w:rsid w:val="00A55378"/>
    <w:rsid w:val="00A63E29"/>
    <w:rsid w:val="00A65067"/>
    <w:rsid w:val="00A65EDC"/>
    <w:rsid w:val="00A65FC5"/>
    <w:rsid w:val="00A6738F"/>
    <w:rsid w:val="00A719C9"/>
    <w:rsid w:val="00A73984"/>
    <w:rsid w:val="00A74F39"/>
    <w:rsid w:val="00A81413"/>
    <w:rsid w:val="00A82101"/>
    <w:rsid w:val="00A96746"/>
    <w:rsid w:val="00AA01CF"/>
    <w:rsid w:val="00AA08D0"/>
    <w:rsid w:val="00AA20C2"/>
    <w:rsid w:val="00AA2925"/>
    <w:rsid w:val="00AA42A8"/>
    <w:rsid w:val="00AB2D30"/>
    <w:rsid w:val="00AB2D39"/>
    <w:rsid w:val="00AC1F96"/>
    <w:rsid w:val="00AC38AC"/>
    <w:rsid w:val="00AC6C6B"/>
    <w:rsid w:val="00AD2627"/>
    <w:rsid w:val="00AD463A"/>
    <w:rsid w:val="00AD6775"/>
    <w:rsid w:val="00AD769D"/>
    <w:rsid w:val="00AE523B"/>
    <w:rsid w:val="00AE7B98"/>
    <w:rsid w:val="00AF3AEB"/>
    <w:rsid w:val="00AF76F7"/>
    <w:rsid w:val="00AF79C5"/>
    <w:rsid w:val="00B00CD2"/>
    <w:rsid w:val="00B0169B"/>
    <w:rsid w:val="00B02BC0"/>
    <w:rsid w:val="00B06282"/>
    <w:rsid w:val="00B13200"/>
    <w:rsid w:val="00B1384A"/>
    <w:rsid w:val="00B24771"/>
    <w:rsid w:val="00B26072"/>
    <w:rsid w:val="00B26433"/>
    <w:rsid w:val="00B27ADB"/>
    <w:rsid w:val="00B30630"/>
    <w:rsid w:val="00B376A2"/>
    <w:rsid w:val="00B40482"/>
    <w:rsid w:val="00B42BAC"/>
    <w:rsid w:val="00B44627"/>
    <w:rsid w:val="00B4500A"/>
    <w:rsid w:val="00B45CD5"/>
    <w:rsid w:val="00B50B73"/>
    <w:rsid w:val="00B52BDB"/>
    <w:rsid w:val="00B53EF3"/>
    <w:rsid w:val="00B55A27"/>
    <w:rsid w:val="00B55D7E"/>
    <w:rsid w:val="00B55E7E"/>
    <w:rsid w:val="00B56124"/>
    <w:rsid w:val="00B57D87"/>
    <w:rsid w:val="00B617FC"/>
    <w:rsid w:val="00B62837"/>
    <w:rsid w:val="00B62A5E"/>
    <w:rsid w:val="00B66E1F"/>
    <w:rsid w:val="00B70B10"/>
    <w:rsid w:val="00B76F01"/>
    <w:rsid w:val="00B77A71"/>
    <w:rsid w:val="00B82A1B"/>
    <w:rsid w:val="00B86292"/>
    <w:rsid w:val="00B92541"/>
    <w:rsid w:val="00B930AF"/>
    <w:rsid w:val="00B94B8E"/>
    <w:rsid w:val="00B964F4"/>
    <w:rsid w:val="00BA0DB7"/>
    <w:rsid w:val="00BA6F5B"/>
    <w:rsid w:val="00BB0874"/>
    <w:rsid w:val="00BB1B16"/>
    <w:rsid w:val="00BB3774"/>
    <w:rsid w:val="00BB4127"/>
    <w:rsid w:val="00BB4461"/>
    <w:rsid w:val="00BB5F99"/>
    <w:rsid w:val="00BB797D"/>
    <w:rsid w:val="00BC2D0E"/>
    <w:rsid w:val="00BC52BD"/>
    <w:rsid w:val="00BC59A9"/>
    <w:rsid w:val="00BC7885"/>
    <w:rsid w:val="00BD1592"/>
    <w:rsid w:val="00BD1C6C"/>
    <w:rsid w:val="00BD3E38"/>
    <w:rsid w:val="00BD4E0D"/>
    <w:rsid w:val="00BD58C8"/>
    <w:rsid w:val="00BE3071"/>
    <w:rsid w:val="00BE361C"/>
    <w:rsid w:val="00BE6E02"/>
    <w:rsid w:val="00BF0BF5"/>
    <w:rsid w:val="00BF2C65"/>
    <w:rsid w:val="00BF44D3"/>
    <w:rsid w:val="00BF5F38"/>
    <w:rsid w:val="00BF7A9E"/>
    <w:rsid w:val="00C003C6"/>
    <w:rsid w:val="00C0188D"/>
    <w:rsid w:val="00C01C49"/>
    <w:rsid w:val="00C027AA"/>
    <w:rsid w:val="00C0678F"/>
    <w:rsid w:val="00C06812"/>
    <w:rsid w:val="00C06BEA"/>
    <w:rsid w:val="00C07561"/>
    <w:rsid w:val="00C12811"/>
    <w:rsid w:val="00C16125"/>
    <w:rsid w:val="00C16F58"/>
    <w:rsid w:val="00C17300"/>
    <w:rsid w:val="00C17C47"/>
    <w:rsid w:val="00C21290"/>
    <w:rsid w:val="00C2447B"/>
    <w:rsid w:val="00C24B53"/>
    <w:rsid w:val="00C30020"/>
    <w:rsid w:val="00C302D1"/>
    <w:rsid w:val="00C30C9B"/>
    <w:rsid w:val="00C31F50"/>
    <w:rsid w:val="00C32159"/>
    <w:rsid w:val="00C347E9"/>
    <w:rsid w:val="00C348D8"/>
    <w:rsid w:val="00C45848"/>
    <w:rsid w:val="00C45B7A"/>
    <w:rsid w:val="00C46FF4"/>
    <w:rsid w:val="00C50BA2"/>
    <w:rsid w:val="00C51E9E"/>
    <w:rsid w:val="00C52374"/>
    <w:rsid w:val="00C538BC"/>
    <w:rsid w:val="00C56941"/>
    <w:rsid w:val="00C63837"/>
    <w:rsid w:val="00C64E7E"/>
    <w:rsid w:val="00C718BB"/>
    <w:rsid w:val="00C749AB"/>
    <w:rsid w:val="00C8237E"/>
    <w:rsid w:val="00C83697"/>
    <w:rsid w:val="00C839BE"/>
    <w:rsid w:val="00C85A5B"/>
    <w:rsid w:val="00C85E34"/>
    <w:rsid w:val="00C878B8"/>
    <w:rsid w:val="00C94C7E"/>
    <w:rsid w:val="00C95629"/>
    <w:rsid w:val="00CA0260"/>
    <w:rsid w:val="00CA1C1F"/>
    <w:rsid w:val="00CA3BFA"/>
    <w:rsid w:val="00CB1216"/>
    <w:rsid w:val="00CB20CA"/>
    <w:rsid w:val="00CB5388"/>
    <w:rsid w:val="00CB7BC3"/>
    <w:rsid w:val="00CC2CD9"/>
    <w:rsid w:val="00CD0DA7"/>
    <w:rsid w:val="00CD0EF5"/>
    <w:rsid w:val="00CD2FF2"/>
    <w:rsid w:val="00CD3C95"/>
    <w:rsid w:val="00CF11EF"/>
    <w:rsid w:val="00CF174F"/>
    <w:rsid w:val="00CF2991"/>
    <w:rsid w:val="00CF3746"/>
    <w:rsid w:val="00CF6E92"/>
    <w:rsid w:val="00D0075C"/>
    <w:rsid w:val="00D0156F"/>
    <w:rsid w:val="00D03591"/>
    <w:rsid w:val="00D03DFC"/>
    <w:rsid w:val="00D0739D"/>
    <w:rsid w:val="00D07A36"/>
    <w:rsid w:val="00D115D2"/>
    <w:rsid w:val="00D12F1A"/>
    <w:rsid w:val="00D14EC2"/>
    <w:rsid w:val="00D15C20"/>
    <w:rsid w:val="00D17765"/>
    <w:rsid w:val="00D2166D"/>
    <w:rsid w:val="00D216C9"/>
    <w:rsid w:val="00D22FC9"/>
    <w:rsid w:val="00D343CD"/>
    <w:rsid w:val="00D3765F"/>
    <w:rsid w:val="00D40AC5"/>
    <w:rsid w:val="00D40B70"/>
    <w:rsid w:val="00D4221B"/>
    <w:rsid w:val="00D432BE"/>
    <w:rsid w:val="00D444A6"/>
    <w:rsid w:val="00D52639"/>
    <w:rsid w:val="00D52A6D"/>
    <w:rsid w:val="00D52C82"/>
    <w:rsid w:val="00D57C6B"/>
    <w:rsid w:val="00D6439F"/>
    <w:rsid w:val="00D71676"/>
    <w:rsid w:val="00D71895"/>
    <w:rsid w:val="00D80AA5"/>
    <w:rsid w:val="00D83955"/>
    <w:rsid w:val="00D85540"/>
    <w:rsid w:val="00D86583"/>
    <w:rsid w:val="00D86D69"/>
    <w:rsid w:val="00D873EC"/>
    <w:rsid w:val="00D91EC7"/>
    <w:rsid w:val="00D9350A"/>
    <w:rsid w:val="00D97B59"/>
    <w:rsid w:val="00DA010D"/>
    <w:rsid w:val="00DA11C5"/>
    <w:rsid w:val="00DA1BE3"/>
    <w:rsid w:val="00DA45C5"/>
    <w:rsid w:val="00DA48B4"/>
    <w:rsid w:val="00DB0353"/>
    <w:rsid w:val="00DB532B"/>
    <w:rsid w:val="00DB5EC3"/>
    <w:rsid w:val="00DB7B95"/>
    <w:rsid w:val="00DC0EBF"/>
    <w:rsid w:val="00DC1D2A"/>
    <w:rsid w:val="00DC2D1D"/>
    <w:rsid w:val="00DC426C"/>
    <w:rsid w:val="00DD3ECB"/>
    <w:rsid w:val="00DD78E5"/>
    <w:rsid w:val="00DE00BE"/>
    <w:rsid w:val="00DE4F57"/>
    <w:rsid w:val="00DE69F3"/>
    <w:rsid w:val="00DF04A6"/>
    <w:rsid w:val="00DF1341"/>
    <w:rsid w:val="00DF1483"/>
    <w:rsid w:val="00DF38F6"/>
    <w:rsid w:val="00DF4B6A"/>
    <w:rsid w:val="00DF4D5E"/>
    <w:rsid w:val="00E00478"/>
    <w:rsid w:val="00E014D7"/>
    <w:rsid w:val="00E032D9"/>
    <w:rsid w:val="00E03758"/>
    <w:rsid w:val="00E04AA3"/>
    <w:rsid w:val="00E068EF"/>
    <w:rsid w:val="00E10399"/>
    <w:rsid w:val="00E13A13"/>
    <w:rsid w:val="00E154A9"/>
    <w:rsid w:val="00E177A3"/>
    <w:rsid w:val="00E21039"/>
    <w:rsid w:val="00E24A2E"/>
    <w:rsid w:val="00E25777"/>
    <w:rsid w:val="00E26CF4"/>
    <w:rsid w:val="00E27D42"/>
    <w:rsid w:val="00E30B10"/>
    <w:rsid w:val="00E31398"/>
    <w:rsid w:val="00E313A9"/>
    <w:rsid w:val="00E34A20"/>
    <w:rsid w:val="00E351C1"/>
    <w:rsid w:val="00E36EA1"/>
    <w:rsid w:val="00E404B6"/>
    <w:rsid w:val="00E4129F"/>
    <w:rsid w:val="00E43722"/>
    <w:rsid w:val="00E449C4"/>
    <w:rsid w:val="00E45097"/>
    <w:rsid w:val="00E5077E"/>
    <w:rsid w:val="00E5112C"/>
    <w:rsid w:val="00E514F5"/>
    <w:rsid w:val="00E542C8"/>
    <w:rsid w:val="00E604D2"/>
    <w:rsid w:val="00E623A6"/>
    <w:rsid w:val="00E63021"/>
    <w:rsid w:val="00E66D4C"/>
    <w:rsid w:val="00E67BB4"/>
    <w:rsid w:val="00E70D2B"/>
    <w:rsid w:val="00E750A9"/>
    <w:rsid w:val="00E83349"/>
    <w:rsid w:val="00E83359"/>
    <w:rsid w:val="00E83633"/>
    <w:rsid w:val="00E852BF"/>
    <w:rsid w:val="00E86E0B"/>
    <w:rsid w:val="00E87E0A"/>
    <w:rsid w:val="00E925A2"/>
    <w:rsid w:val="00E954C1"/>
    <w:rsid w:val="00E97244"/>
    <w:rsid w:val="00EA0309"/>
    <w:rsid w:val="00EA0E88"/>
    <w:rsid w:val="00EA1D48"/>
    <w:rsid w:val="00EA2E78"/>
    <w:rsid w:val="00EA30F5"/>
    <w:rsid w:val="00EA4661"/>
    <w:rsid w:val="00EA4C5F"/>
    <w:rsid w:val="00EA54FA"/>
    <w:rsid w:val="00EA77BD"/>
    <w:rsid w:val="00EB065F"/>
    <w:rsid w:val="00EB1CE3"/>
    <w:rsid w:val="00EB3877"/>
    <w:rsid w:val="00EB49D9"/>
    <w:rsid w:val="00EB4DE5"/>
    <w:rsid w:val="00EB5D71"/>
    <w:rsid w:val="00EB7D31"/>
    <w:rsid w:val="00ED0ACC"/>
    <w:rsid w:val="00ED240D"/>
    <w:rsid w:val="00ED5EB5"/>
    <w:rsid w:val="00ED742E"/>
    <w:rsid w:val="00ED7B23"/>
    <w:rsid w:val="00EE0739"/>
    <w:rsid w:val="00EE2C0B"/>
    <w:rsid w:val="00EF206D"/>
    <w:rsid w:val="00EF21CD"/>
    <w:rsid w:val="00F01919"/>
    <w:rsid w:val="00F01E19"/>
    <w:rsid w:val="00F020EA"/>
    <w:rsid w:val="00F02358"/>
    <w:rsid w:val="00F0769F"/>
    <w:rsid w:val="00F10226"/>
    <w:rsid w:val="00F10CF9"/>
    <w:rsid w:val="00F10F2A"/>
    <w:rsid w:val="00F111E6"/>
    <w:rsid w:val="00F12FEF"/>
    <w:rsid w:val="00F13C15"/>
    <w:rsid w:val="00F16387"/>
    <w:rsid w:val="00F21347"/>
    <w:rsid w:val="00F21740"/>
    <w:rsid w:val="00F23D16"/>
    <w:rsid w:val="00F25F12"/>
    <w:rsid w:val="00F275A0"/>
    <w:rsid w:val="00F3278F"/>
    <w:rsid w:val="00F422C5"/>
    <w:rsid w:val="00F42C08"/>
    <w:rsid w:val="00F43951"/>
    <w:rsid w:val="00F45AA7"/>
    <w:rsid w:val="00F525E8"/>
    <w:rsid w:val="00F56533"/>
    <w:rsid w:val="00F57670"/>
    <w:rsid w:val="00F577CF"/>
    <w:rsid w:val="00F63C06"/>
    <w:rsid w:val="00F63F9F"/>
    <w:rsid w:val="00F70DB3"/>
    <w:rsid w:val="00F718B2"/>
    <w:rsid w:val="00F71C7B"/>
    <w:rsid w:val="00F723C6"/>
    <w:rsid w:val="00F77B4A"/>
    <w:rsid w:val="00F804B7"/>
    <w:rsid w:val="00F80723"/>
    <w:rsid w:val="00F819CE"/>
    <w:rsid w:val="00F85DB3"/>
    <w:rsid w:val="00F868DE"/>
    <w:rsid w:val="00F901AE"/>
    <w:rsid w:val="00F903E7"/>
    <w:rsid w:val="00F90802"/>
    <w:rsid w:val="00F93363"/>
    <w:rsid w:val="00F937F5"/>
    <w:rsid w:val="00F94AD5"/>
    <w:rsid w:val="00F94E16"/>
    <w:rsid w:val="00F95263"/>
    <w:rsid w:val="00FA0D67"/>
    <w:rsid w:val="00FA15C2"/>
    <w:rsid w:val="00FA4412"/>
    <w:rsid w:val="00FA492A"/>
    <w:rsid w:val="00FA5573"/>
    <w:rsid w:val="00FA7E60"/>
    <w:rsid w:val="00FB1168"/>
    <w:rsid w:val="00FB464D"/>
    <w:rsid w:val="00FB516C"/>
    <w:rsid w:val="00FB5742"/>
    <w:rsid w:val="00FC0871"/>
    <w:rsid w:val="00FC1E79"/>
    <w:rsid w:val="00FC2D02"/>
    <w:rsid w:val="00FC33A0"/>
    <w:rsid w:val="00FC450B"/>
    <w:rsid w:val="00FC57B3"/>
    <w:rsid w:val="00FD0CA4"/>
    <w:rsid w:val="00FD1175"/>
    <w:rsid w:val="00FD2C35"/>
    <w:rsid w:val="00FD5C4E"/>
    <w:rsid w:val="00FE020F"/>
    <w:rsid w:val="00FE4911"/>
    <w:rsid w:val="00FE67AC"/>
    <w:rsid w:val="00FF010A"/>
    <w:rsid w:val="00FF13AB"/>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79B"/>
    <w:rsid w:val="000B0EA6"/>
    <w:rsid w:val="000D2F66"/>
    <w:rsid w:val="000F5EA4"/>
    <w:rsid w:val="00130D2F"/>
    <w:rsid w:val="00165691"/>
    <w:rsid w:val="00174632"/>
    <w:rsid w:val="00174B77"/>
    <w:rsid w:val="001806C9"/>
    <w:rsid w:val="001B05FF"/>
    <w:rsid w:val="001E3E07"/>
    <w:rsid w:val="001F077A"/>
    <w:rsid w:val="00214305"/>
    <w:rsid w:val="0025102D"/>
    <w:rsid w:val="00294C60"/>
    <w:rsid w:val="00306954"/>
    <w:rsid w:val="00330070"/>
    <w:rsid w:val="003415E5"/>
    <w:rsid w:val="0034387B"/>
    <w:rsid w:val="003A2D68"/>
    <w:rsid w:val="003E054B"/>
    <w:rsid w:val="004A2BB2"/>
    <w:rsid w:val="00526E4E"/>
    <w:rsid w:val="005A5910"/>
    <w:rsid w:val="005B32C8"/>
    <w:rsid w:val="006172E6"/>
    <w:rsid w:val="0064341F"/>
    <w:rsid w:val="00706452"/>
    <w:rsid w:val="007A28BC"/>
    <w:rsid w:val="008319A5"/>
    <w:rsid w:val="00847AF7"/>
    <w:rsid w:val="0085710A"/>
    <w:rsid w:val="00870267"/>
    <w:rsid w:val="008A262F"/>
    <w:rsid w:val="008C2E34"/>
    <w:rsid w:val="008E0781"/>
    <w:rsid w:val="009025F1"/>
    <w:rsid w:val="00A65FC5"/>
    <w:rsid w:val="00A72A3A"/>
    <w:rsid w:val="00AB6540"/>
    <w:rsid w:val="00B51944"/>
    <w:rsid w:val="00BB797D"/>
    <w:rsid w:val="00BC5DF4"/>
    <w:rsid w:val="00BF69F3"/>
    <w:rsid w:val="00C151B6"/>
    <w:rsid w:val="00CD0DA7"/>
    <w:rsid w:val="00D041E7"/>
    <w:rsid w:val="00D77FAF"/>
    <w:rsid w:val="00DC0EBF"/>
    <w:rsid w:val="00DF04A6"/>
    <w:rsid w:val="00DF1195"/>
    <w:rsid w:val="00DF5A15"/>
    <w:rsid w:val="00E60E68"/>
    <w:rsid w:val="00F21347"/>
    <w:rsid w:val="00F9080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edadf248029a6205e9dc784459856ce8">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4289fd15442ea21a21a23a1624e6e9b0"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862D74D7-2F2D-4116-8123-305E698B1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5574</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8</cp:revision>
  <cp:lastPrinted>2024-08-12T11:44:00Z</cp:lastPrinted>
  <dcterms:created xsi:type="dcterms:W3CDTF">2024-09-27T13:30:00Z</dcterms:created>
  <dcterms:modified xsi:type="dcterms:W3CDTF">2024-10-01T06:00:00Z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y fmtid="{D5CDD505-2E9C-101B-9397-08002B2CF9AE}" pid="4" name="MediaServiceImageTags">
    <vt:lpwstr/>
  </property>
</Properties>
</file>